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777" w:rsidRDefault="00A0314B" w:rsidP="008C3777">
      <w:pPr>
        <w:ind w:left="7788"/>
      </w:pPr>
      <w:r w:rsidRPr="008C3777">
        <w:t xml:space="preserve"> </w:t>
      </w:r>
      <w:r w:rsidR="008C3777">
        <w:t>Ek-l(b)</w:t>
      </w:r>
    </w:p>
    <w:p w:rsidR="0089150C" w:rsidRDefault="008C3777" w:rsidP="0089150C">
      <w:pPr>
        <w:jc w:val="center"/>
        <w:rPr>
          <w:b/>
        </w:rPr>
      </w:pPr>
      <w:r w:rsidRPr="008C3777">
        <w:rPr>
          <w:b/>
        </w:rPr>
        <w:t xml:space="preserve">SU ÜRÜNLERİ ÜRETİM YERLERİNDE AVCILIK AMACIYLA SU ÜRÜNLERİ İSTİHSALİNE İLİŞKİN </w:t>
      </w:r>
    </w:p>
    <w:p w:rsidR="008C3777" w:rsidRPr="008C3777" w:rsidRDefault="008C3777" w:rsidP="0089150C">
      <w:pPr>
        <w:jc w:val="center"/>
        <w:rPr>
          <w:b/>
        </w:rPr>
      </w:pPr>
      <w:r w:rsidRPr="008C3777">
        <w:rPr>
          <w:b/>
        </w:rPr>
        <w:t>T</w:t>
      </w:r>
      <w:bookmarkStart w:id="0" w:name="_GoBack"/>
      <w:bookmarkEnd w:id="0"/>
      <w:r w:rsidRPr="008C3777">
        <w:rPr>
          <w:b/>
        </w:rPr>
        <w:t>EKNİK ŞARTNAME</w:t>
      </w:r>
    </w:p>
    <w:p w:rsidR="008C3777" w:rsidRDefault="008C3777" w:rsidP="00AF771C">
      <w:pPr>
        <w:jc w:val="both"/>
      </w:pPr>
      <w:proofErr w:type="gramStart"/>
      <w:r>
        <w:t>1-</w:t>
      </w:r>
      <w:r w:rsidR="00AF771C">
        <w:t xml:space="preserve"> </w:t>
      </w:r>
      <w:r>
        <w:t xml:space="preserve">04.04.1971 tarih ve 13799 sayılı Resmi Gazete 'de yayımlanarak yürürlüğe giren "1380 Sayılı Su Ürünleri Kanunu", 31.10.2020 tarih ve 31290 sayılı Resmi </w:t>
      </w:r>
      <w:proofErr w:type="spellStart"/>
      <w:r>
        <w:t>Gazete'de</w:t>
      </w:r>
      <w:proofErr w:type="spellEnd"/>
      <w:r>
        <w:t xml:space="preserve"> yayımlanarak yürürlüğe giren "Su Ürünleri Üretiminde Kiralama Yönetmeliği", 22.08.2020 tarih ve 31221 sayılı Resmi </w:t>
      </w:r>
      <w:proofErr w:type="spellStart"/>
      <w:r>
        <w:t>Gazete'de</w:t>
      </w:r>
      <w:proofErr w:type="spellEnd"/>
      <w:r>
        <w:t xml:space="preserve"> yayımlanarak yürürlüğe giren "5/1 Numaralı Ticari Amaçlı Su Ürünleri Avcılığının Düzenlenmesi Hakkında Tebliğ (Tebliğ No: 2020/20)" ve "5/2 Numaralı Amatör Amaçlı Su Ürünleri Avcılığının Düzenlenmesi Hakkında Tebliğ (No: 2020/21)" ve mer'i mevzuatta yer alan mevcut yasak, sınırlama ve yükümlülüklere aynen uyulacaktır.</w:t>
      </w:r>
      <w:proofErr w:type="gramEnd"/>
    </w:p>
    <w:p w:rsidR="008C3777" w:rsidRDefault="008C3777" w:rsidP="00AF771C">
      <w:pPr>
        <w:jc w:val="both"/>
      </w:pPr>
      <w:r>
        <w:t>2-Su Ürünleri Yönetmeliğinin 4 ve 5 inci maddesi gereğince, su ürünleri istihsalinde bulunacak gerçek ve tüzel kişiler, gerek kendileri ve gerekse istihsalde kullanacakları gemiler için Ruhsat Tezkeresi almakla yükümlüdürler.</w:t>
      </w:r>
    </w:p>
    <w:p w:rsidR="008C3777" w:rsidRDefault="008C3777" w:rsidP="00AF771C">
      <w:pPr>
        <w:jc w:val="both"/>
      </w:pPr>
      <w:r>
        <w:t>3-Kiracı, avcılık yoluyla istihsal edilen her türe ait miktarın ayrı ayrı, belirlenen zaman ve formlara uygun olarak kaydını tutmak ve il müdürlüğüne bildirmekle sorumludur. İl müdürlüğü tarafından bu bilgilerin doğruluğu kontrol edilerek su ürünleri bilgi sistemine kaydedilir.</w:t>
      </w:r>
    </w:p>
    <w:p w:rsidR="008C3777" w:rsidRDefault="008C3777" w:rsidP="00AF771C">
      <w:pPr>
        <w:jc w:val="both"/>
      </w:pPr>
      <w:r>
        <w:t>4-Kiracı, istihsal sahasında devamlı tecrübeli sorumlu eleman bulunduracaktır. Bu eleman İl Tarım ve Orman Müdürlüğüne temsilcilerinin kontrolünde her türlü bilgiyi verecek ve gerekli kolaylığı gösterecektir.</w:t>
      </w:r>
    </w:p>
    <w:p w:rsidR="008C3777" w:rsidRDefault="008C3777" w:rsidP="00AF771C">
      <w:pPr>
        <w:jc w:val="both"/>
      </w:pPr>
      <w:r>
        <w:t>5-Su ürünleri avcılığında kullanılacak her türlü gemi ve su aracı ve bunları kullananlar için İç Sularda Çalışan Gemi ve İç Su Araçları Yönetmeliği kapsamında gerekli belgelerin alınması zorunludur. Bu belgelere sahip olmayan kişi, gemi ve su araçları su ürünleri avcılığından men edilir.</w:t>
      </w:r>
    </w:p>
    <w:p w:rsidR="008C3777" w:rsidRDefault="008C3777" w:rsidP="00AF771C">
      <w:pPr>
        <w:jc w:val="both"/>
      </w:pPr>
      <w:r>
        <w:t>6-Av yasağı içinde veya dışında; istihsal yerinde mevcut balık ve diğer su ürünlerinin ıslahı ile ilgili etüt ve araştırmalar için lüzum görüldüğü takdirde istihsal yeri, muayyen bir süre için her türlü avlanmadan men edilebilir. Konulacak av yasağı bir ayı geçerse, kiracı bir ayı geçen süreler için yıllık kira bedeli üzerinden hesaplanacak kira bedelini ödemez.</w:t>
      </w:r>
    </w:p>
    <w:p w:rsidR="008C3777" w:rsidRDefault="008C3777" w:rsidP="00AF771C">
      <w:pPr>
        <w:jc w:val="both"/>
      </w:pPr>
      <w:r>
        <w:t xml:space="preserve">7-Balık ve diğer su ürünlerinin büyüme ve gelişmelerini kontrol ve balık popülasyonlarının miktarını tespit etmek ve araştırmalar yapmak üzere, zaman zaman Bakanlık elemanlarınca götürülmek üzere alınacak balık numuneleri ve diğer materyalin temini için, kiracı mevcut </w:t>
      </w:r>
      <w:proofErr w:type="gramStart"/>
      <w:r>
        <w:t>imkanları</w:t>
      </w:r>
      <w:proofErr w:type="gramEnd"/>
      <w:r>
        <w:t xml:space="preserve"> ile ilgililere yardım edecektir.</w:t>
      </w:r>
    </w:p>
    <w:p w:rsidR="008C3777" w:rsidRDefault="008C3777" w:rsidP="00AF771C">
      <w:pPr>
        <w:jc w:val="both"/>
      </w:pPr>
      <w:r>
        <w:t>8-Kiralanmış olan su ürünleri üretim yerinde Bakanlıkça bilimsel veya ar-ge amaçlı çalışma izni verilebilir.</w:t>
      </w:r>
    </w:p>
    <w:p w:rsidR="008C3777" w:rsidRDefault="008C3777" w:rsidP="00AF771C">
      <w:pPr>
        <w:jc w:val="both"/>
      </w:pPr>
      <w:r>
        <w:t>9-Bakanlığın izni olmadan istihsal yerinin doldurulması, kurutulması, kısmen veya</w:t>
      </w:r>
      <w:r w:rsidR="003B13C2">
        <w:t xml:space="preserve"> </w:t>
      </w:r>
      <w:r>
        <w:t>tamamen şeklinin değiştirilmesi yasaktır.</w:t>
      </w:r>
    </w:p>
    <w:p w:rsidR="008C3777" w:rsidRDefault="008C3777" w:rsidP="00AF771C">
      <w:pPr>
        <w:jc w:val="both"/>
      </w:pPr>
      <w:r>
        <w:t>1O- Su ürünleri yetiştiriciliği yapılan yerlerin çevresindeki 200 metrelik sahada ve mansaplardan 300 metre içeriye kadar ki alanda su ürünleri avcılığı yapılmayacaktır.</w:t>
      </w:r>
    </w:p>
    <w:p w:rsidR="003B13C2" w:rsidRDefault="008C3777" w:rsidP="00AF771C">
      <w:pPr>
        <w:jc w:val="both"/>
      </w:pPr>
      <w:r>
        <w:t xml:space="preserve">11- Kiracı, istihsal sahasında kirlenmeye neden olacak hareketlerden kaçınacaktır. </w:t>
      </w:r>
    </w:p>
    <w:p w:rsidR="003B13C2" w:rsidRDefault="008C3777" w:rsidP="00AF771C">
      <w:pPr>
        <w:jc w:val="both"/>
      </w:pPr>
      <w:r>
        <w:t>12- Kiracı, istihsal sahasını başkasına devredemez, kiraya veremez, ortak alamaz.</w:t>
      </w:r>
    </w:p>
    <w:p w:rsidR="008C3777" w:rsidRDefault="008C3777" w:rsidP="00AF771C">
      <w:pPr>
        <w:jc w:val="both"/>
      </w:pPr>
      <w:r>
        <w:t xml:space="preserve"> 13- Sazlık kesimlerde çit kullanarak balık yakalama tesisleri kurulmayacaktır.</w:t>
      </w:r>
    </w:p>
    <w:p w:rsidR="008C3777" w:rsidRDefault="008C3777" w:rsidP="00AF771C">
      <w:pPr>
        <w:jc w:val="both"/>
      </w:pPr>
      <w:r>
        <w:lastRenderedPageBreak/>
        <w:t>14-Su ürünleri üretim yerinde kiralaması yapılan yüksek su bitkilerinin tamamı kesilmeyecek %35 inden az olmamak kaydıyla bir sonraki döneme bırakılacaktır.</w:t>
      </w:r>
    </w:p>
    <w:p w:rsidR="008C3777" w:rsidRDefault="008C3777" w:rsidP="00AF771C">
      <w:pPr>
        <w:jc w:val="both"/>
      </w:pPr>
      <w:r>
        <w:t>15-Bakanlık il müdürlüğünün izni dışında ilk üreme devresini geçirmemiş hiçbir balık avlanamayacaktır.</w:t>
      </w:r>
    </w:p>
    <w:p w:rsidR="00A0314B" w:rsidRDefault="008C3777" w:rsidP="00AF771C">
      <w:pPr>
        <w:jc w:val="both"/>
      </w:pPr>
      <w:r>
        <w:t>16-Avlanabilir stok tespiti ve üretim kontrolü çalışmalarının değerlendirilmesi sonucu tahmin edilen su ürünleri cinsi ve miktarı aşağıda belirtilmiştir.</w:t>
      </w:r>
    </w:p>
    <w:p w:rsidR="008C3777" w:rsidRDefault="008C3777" w:rsidP="008C3777"/>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30"/>
        <w:gridCol w:w="4372"/>
      </w:tblGrid>
      <w:tr w:rsidR="008C3777" w:rsidRPr="008C3777" w:rsidTr="008C3777">
        <w:trPr>
          <w:trHeight w:val="239"/>
          <w:jc w:val="center"/>
        </w:trPr>
        <w:tc>
          <w:tcPr>
            <w:tcW w:w="4230" w:type="dxa"/>
          </w:tcPr>
          <w:p w:rsidR="008C3777" w:rsidRPr="003B13C2" w:rsidRDefault="008C3777" w:rsidP="008C3777">
            <w:pPr>
              <w:spacing w:before="15" w:line="216" w:lineRule="exact"/>
              <w:ind w:right="57"/>
              <w:jc w:val="right"/>
              <w:rPr>
                <w:rFonts w:ascii="Times New Roman" w:eastAsia="Times New Roman" w:hAnsi="Times New Roman" w:cs="Times New Roman"/>
                <w:b/>
                <w:sz w:val="23"/>
              </w:rPr>
            </w:pPr>
            <w:r w:rsidRPr="003B13C2">
              <w:rPr>
                <w:rFonts w:ascii="Times New Roman" w:eastAsia="Times New Roman" w:hAnsi="Times New Roman" w:cs="Times New Roman"/>
                <w:b/>
                <w:color w:val="212121"/>
                <w:spacing w:val="-1"/>
                <w:w w:val="105"/>
                <w:sz w:val="23"/>
              </w:rPr>
              <w:t>Su</w:t>
            </w:r>
            <w:r w:rsidRPr="003B13C2">
              <w:rPr>
                <w:rFonts w:ascii="Times New Roman" w:eastAsia="Times New Roman" w:hAnsi="Times New Roman" w:cs="Times New Roman"/>
                <w:b/>
                <w:color w:val="212121"/>
                <w:spacing w:val="-13"/>
                <w:w w:val="105"/>
                <w:sz w:val="23"/>
              </w:rPr>
              <w:t xml:space="preserve"> </w:t>
            </w:r>
            <w:proofErr w:type="spellStart"/>
            <w:r w:rsidRPr="003B13C2">
              <w:rPr>
                <w:rFonts w:ascii="Times New Roman" w:eastAsia="Times New Roman" w:hAnsi="Times New Roman" w:cs="Times New Roman"/>
                <w:b/>
                <w:color w:val="0F0F0F"/>
                <w:spacing w:val="-1"/>
                <w:w w:val="105"/>
                <w:sz w:val="23"/>
              </w:rPr>
              <w:t>ürünlerinin</w:t>
            </w:r>
            <w:proofErr w:type="spellEnd"/>
            <w:r w:rsidRPr="003B13C2">
              <w:rPr>
                <w:rFonts w:ascii="Times New Roman" w:eastAsia="Times New Roman" w:hAnsi="Times New Roman" w:cs="Times New Roman"/>
                <w:b/>
                <w:color w:val="0F0F0F"/>
                <w:spacing w:val="-5"/>
                <w:w w:val="105"/>
                <w:sz w:val="23"/>
              </w:rPr>
              <w:t xml:space="preserve"> </w:t>
            </w:r>
            <w:proofErr w:type="spellStart"/>
            <w:r w:rsidRPr="003B13C2">
              <w:rPr>
                <w:rFonts w:ascii="Times New Roman" w:eastAsia="Times New Roman" w:hAnsi="Times New Roman" w:cs="Times New Roman"/>
                <w:b/>
                <w:color w:val="0F0F0F"/>
                <w:spacing w:val="-1"/>
                <w:w w:val="105"/>
                <w:sz w:val="23"/>
              </w:rPr>
              <w:t>türü</w:t>
            </w:r>
            <w:proofErr w:type="spellEnd"/>
            <w:r w:rsidRPr="003B13C2">
              <w:rPr>
                <w:rFonts w:ascii="Times New Roman" w:eastAsia="Times New Roman" w:hAnsi="Times New Roman" w:cs="Times New Roman"/>
                <w:b/>
                <w:color w:val="0F0F0F"/>
                <w:spacing w:val="-1"/>
                <w:w w:val="105"/>
                <w:sz w:val="23"/>
              </w:rPr>
              <w:t>/</w:t>
            </w:r>
            <w:proofErr w:type="spellStart"/>
            <w:r w:rsidRPr="003B13C2">
              <w:rPr>
                <w:rFonts w:ascii="Times New Roman" w:eastAsia="Times New Roman" w:hAnsi="Times New Roman" w:cs="Times New Roman"/>
                <w:b/>
                <w:color w:val="0F0F0F"/>
                <w:spacing w:val="-1"/>
                <w:w w:val="105"/>
                <w:sz w:val="23"/>
              </w:rPr>
              <w:t>Latince</w:t>
            </w:r>
            <w:proofErr w:type="spellEnd"/>
            <w:r w:rsidRPr="003B13C2">
              <w:rPr>
                <w:rFonts w:ascii="Times New Roman" w:eastAsia="Times New Roman" w:hAnsi="Times New Roman" w:cs="Times New Roman"/>
                <w:b/>
                <w:color w:val="0F0F0F"/>
                <w:spacing w:val="-9"/>
                <w:w w:val="105"/>
                <w:sz w:val="23"/>
              </w:rPr>
              <w:t xml:space="preserve"> </w:t>
            </w:r>
            <w:proofErr w:type="spellStart"/>
            <w:r w:rsidRPr="003B13C2">
              <w:rPr>
                <w:rFonts w:ascii="Times New Roman" w:eastAsia="Times New Roman" w:hAnsi="Times New Roman" w:cs="Times New Roman"/>
                <w:b/>
                <w:color w:val="0F0F0F"/>
                <w:w w:val="105"/>
                <w:sz w:val="23"/>
              </w:rPr>
              <w:t>adı</w:t>
            </w:r>
            <w:proofErr w:type="spellEnd"/>
            <w:r w:rsidRPr="003B13C2">
              <w:rPr>
                <w:rFonts w:ascii="Times New Roman" w:eastAsia="Times New Roman" w:hAnsi="Times New Roman" w:cs="Times New Roman"/>
                <w:b/>
                <w:color w:val="0F0F0F"/>
                <w:w w:val="105"/>
                <w:sz w:val="23"/>
              </w:rPr>
              <w:t>/</w:t>
            </w:r>
            <w:proofErr w:type="spellStart"/>
            <w:r w:rsidRPr="003B13C2">
              <w:rPr>
                <w:rFonts w:ascii="Times New Roman" w:eastAsia="Times New Roman" w:hAnsi="Times New Roman" w:cs="Times New Roman"/>
                <w:b/>
                <w:color w:val="0F0F0F"/>
                <w:w w:val="105"/>
                <w:sz w:val="23"/>
              </w:rPr>
              <w:t>Yerel</w:t>
            </w:r>
            <w:proofErr w:type="spellEnd"/>
            <w:r w:rsidRPr="003B13C2">
              <w:rPr>
                <w:rFonts w:ascii="Times New Roman" w:eastAsia="Times New Roman" w:hAnsi="Times New Roman" w:cs="Times New Roman"/>
                <w:b/>
                <w:color w:val="0F0F0F"/>
                <w:spacing w:val="-11"/>
                <w:w w:val="105"/>
                <w:sz w:val="23"/>
              </w:rPr>
              <w:t xml:space="preserve"> </w:t>
            </w:r>
            <w:proofErr w:type="spellStart"/>
            <w:r w:rsidRPr="003B13C2">
              <w:rPr>
                <w:rFonts w:ascii="Times New Roman" w:eastAsia="Times New Roman" w:hAnsi="Times New Roman" w:cs="Times New Roman"/>
                <w:b/>
                <w:color w:val="0F0F0F"/>
                <w:w w:val="105"/>
                <w:sz w:val="23"/>
              </w:rPr>
              <w:t>adı</w:t>
            </w:r>
            <w:proofErr w:type="spellEnd"/>
          </w:p>
        </w:tc>
        <w:tc>
          <w:tcPr>
            <w:tcW w:w="4372" w:type="dxa"/>
          </w:tcPr>
          <w:p w:rsidR="008C3777" w:rsidRPr="003B13C2" w:rsidRDefault="008C3777" w:rsidP="008C3777">
            <w:pPr>
              <w:spacing w:before="8" w:line="223" w:lineRule="exact"/>
              <w:ind w:left="116"/>
              <w:rPr>
                <w:rFonts w:ascii="Times New Roman" w:eastAsia="Times New Roman" w:hAnsi="Times New Roman" w:cs="Times New Roman"/>
                <w:b/>
                <w:sz w:val="23"/>
              </w:rPr>
            </w:pPr>
            <w:proofErr w:type="spellStart"/>
            <w:r w:rsidRPr="003B13C2">
              <w:rPr>
                <w:rFonts w:ascii="Times New Roman" w:eastAsia="Times New Roman" w:hAnsi="Times New Roman" w:cs="Times New Roman"/>
                <w:b/>
                <w:color w:val="0F0F0F"/>
                <w:spacing w:val="-1"/>
                <w:w w:val="105"/>
                <w:sz w:val="23"/>
              </w:rPr>
              <w:t>Avlanabilir</w:t>
            </w:r>
            <w:proofErr w:type="spellEnd"/>
            <w:r w:rsidRPr="003B13C2">
              <w:rPr>
                <w:rFonts w:ascii="Times New Roman" w:eastAsia="Times New Roman" w:hAnsi="Times New Roman" w:cs="Times New Roman"/>
                <w:b/>
                <w:color w:val="0F0F0F"/>
                <w:spacing w:val="-14"/>
                <w:w w:val="105"/>
                <w:sz w:val="23"/>
              </w:rPr>
              <w:t xml:space="preserve"> </w:t>
            </w:r>
            <w:r w:rsidRPr="003B13C2">
              <w:rPr>
                <w:rFonts w:ascii="Times New Roman" w:eastAsia="Times New Roman" w:hAnsi="Times New Roman" w:cs="Times New Roman"/>
                <w:b/>
                <w:color w:val="212121"/>
                <w:w w:val="105"/>
                <w:sz w:val="23"/>
              </w:rPr>
              <w:t>Stok</w:t>
            </w:r>
            <w:r w:rsidRPr="003B13C2">
              <w:rPr>
                <w:rFonts w:ascii="Times New Roman" w:eastAsia="Times New Roman" w:hAnsi="Times New Roman" w:cs="Times New Roman"/>
                <w:b/>
                <w:color w:val="212121"/>
                <w:spacing w:val="-10"/>
                <w:w w:val="105"/>
                <w:sz w:val="23"/>
              </w:rPr>
              <w:t xml:space="preserve"> </w:t>
            </w:r>
            <w:proofErr w:type="spellStart"/>
            <w:r w:rsidRPr="003B13C2">
              <w:rPr>
                <w:rFonts w:ascii="Times New Roman" w:eastAsia="Times New Roman" w:hAnsi="Times New Roman" w:cs="Times New Roman"/>
                <w:b/>
                <w:color w:val="212121"/>
                <w:w w:val="105"/>
                <w:sz w:val="23"/>
              </w:rPr>
              <w:t>Miktarı</w:t>
            </w:r>
            <w:proofErr w:type="spellEnd"/>
            <w:r w:rsidRPr="003B13C2">
              <w:rPr>
                <w:rFonts w:ascii="Times New Roman" w:eastAsia="Times New Roman" w:hAnsi="Times New Roman" w:cs="Times New Roman"/>
                <w:b/>
                <w:color w:val="212121"/>
                <w:spacing w:val="-13"/>
                <w:w w:val="105"/>
                <w:sz w:val="23"/>
              </w:rPr>
              <w:t xml:space="preserve"> </w:t>
            </w:r>
            <w:r w:rsidRPr="003B13C2">
              <w:rPr>
                <w:rFonts w:ascii="Times New Roman" w:eastAsia="Times New Roman" w:hAnsi="Times New Roman" w:cs="Times New Roman"/>
                <w:b/>
                <w:color w:val="212121"/>
                <w:w w:val="105"/>
                <w:sz w:val="23"/>
              </w:rPr>
              <w:t>(Kg/</w:t>
            </w:r>
            <w:proofErr w:type="spellStart"/>
            <w:r w:rsidRPr="003B13C2">
              <w:rPr>
                <w:rFonts w:ascii="Times New Roman" w:eastAsia="Times New Roman" w:hAnsi="Times New Roman" w:cs="Times New Roman"/>
                <w:b/>
                <w:color w:val="212121"/>
                <w:w w:val="105"/>
                <w:sz w:val="23"/>
              </w:rPr>
              <w:t>Yıl</w:t>
            </w:r>
            <w:proofErr w:type="spellEnd"/>
            <w:r w:rsidRPr="003B13C2">
              <w:rPr>
                <w:rFonts w:ascii="Times New Roman" w:eastAsia="Times New Roman" w:hAnsi="Times New Roman" w:cs="Times New Roman"/>
                <w:b/>
                <w:color w:val="212121"/>
                <w:w w:val="105"/>
                <w:sz w:val="23"/>
              </w:rPr>
              <w:t>)</w:t>
            </w:r>
          </w:p>
        </w:tc>
      </w:tr>
      <w:tr w:rsidR="008C3777" w:rsidRPr="008C3777" w:rsidTr="008C3777">
        <w:trPr>
          <w:trHeight w:val="245"/>
          <w:jc w:val="center"/>
        </w:trPr>
        <w:tc>
          <w:tcPr>
            <w:tcW w:w="4230" w:type="dxa"/>
          </w:tcPr>
          <w:p w:rsidR="008C3777" w:rsidRPr="003B13C2" w:rsidRDefault="008C3777" w:rsidP="008C3777">
            <w:pPr>
              <w:spacing w:before="29" w:line="209" w:lineRule="exact"/>
              <w:ind w:left="119"/>
              <w:rPr>
                <w:rFonts w:ascii="Times New Roman" w:eastAsia="Times New Roman" w:hAnsi="Times New Roman" w:cs="Times New Roman"/>
                <w:b/>
                <w:sz w:val="25"/>
              </w:rPr>
            </w:pPr>
            <w:r w:rsidRPr="003B13C2">
              <w:rPr>
                <w:rFonts w:ascii="Times New Roman" w:eastAsia="Times New Roman" w:hAnsi="Times New Roman" w:cs="Times New Roman"/>
                <w:b/>
                <w:color w:val="0F0F0F"/>
                <w:w w:val="70"/>
                <w:sz w:val="25"/>
              </w:rPr>
              <w:t>1-</w:t>
            </w:r>
            <w:r w:rsidR="003B13C2" w:rsidRPr="003B13C2">
              <w:rPr>
                <w:rFonts w:ascii="Times New Roman" w:eastAsia="Times New Roman" w:hAnsi="Times New Roman" w:cs="Times New Roman"/>
                <w:b/>
                <w:color w:val="0F0F0F"/>
                <w:w w:val="70"/>
                <w:sz w:val="25"/>
              </w:rPr>
              <w:t xml:space="preserve">Pullu </w:t>
            </w:r>
            <w:proofErr w:type="spellStart"/>
            <w:r w:rsidR="003B13C2" w:rsidRPr="003B13C2">
              <w:rPr>
                <w:rFonts w:ascii="Times New Roman" w:eastAsia="Times New Roman" w:hAnsi="Times New Roman" w:cs="Times New Roman"/>
                <w:b/>
                <w:color w:val="0F0F0F"/>
                <w:w w:val="70"/>
                <w:sz w:val="25"/>
              </w:rPr>
              <w:t>Sazan</w:t>
            </w:r>
            <w:proofErr w:type="spellEnd"/>
            <w:r w:rsidR="003B13C2" w:rsidRPr="003B13C2">
              <w:rPr>
                <w:rFonts w:ascii="Times New Roman" w:eastAsia="Times New Roman" w:hAnsi="Times New Roman" w:cs="Times New Roman"/>
                <w:b/>
                <w:color w:val="0F0F0F"/>
                <w:w w:val="70"/>
                <w:sz w:val="25"/>
              </w:rPr>
              <w:t xml:space="preserve"> /</w:t>
            </w:r>
            <w:proofErr w:type="spellStart"/>
            <w:r w:rsidR="003B13C2" w:rsidRPr="003B13C2">
              <w:rPr>
                <w:rFonts w:ascii="Times New Roman" w:eastAsia="Times New Roman" w:hAnsi="Times New Roman" w:cs="Times New Roman"/>
                <w:b/>
                <w:color w:val="0F0F0F"/>
                <w:w w:val="70"/>
                <w:sz w:val="25"/>
              </w:rPr>
              <w:t>Cyprinus</w:t>
            </w:r>
            <w:proofErr w:type="spellEnd"/>
            <w:r w:rsidR="003B13C2" w:rsidRPr="003B13C2">
              <w:rPr>
                <w:rFonts w:ascii="Times New Roman" w:eastAsia="Times New Roman" w:hAnsi="Times New Roman" w:cs="Times New Roman"/>
                <w:b/>
                <w:color w:val="0F0F0F"/>
                <w:w w:val="70"/>
                <w:sz w:val="25"/>
              </w:rPr>
              <w:t xml:space="preserve"> </w:t>
            </w:r>
            <w:proofErr w:type="spellStart"/>
            <w:r w:rsidR="003B13C2" w:rsidRPr="003B13C2">
              <w:rPr>
                <w:rFonts w:ascii="Times New Roman" w:eastAsia="Times New Roman" w:hAnsi="Times New Roman" w:cs="Times New Roman"/>
                <w:b/>
                <w:color w:val="0F0F0F"/>
                <w:w w:val="70"/>
                <w:sz w:val="25"/>
              </w:rPr>
              <w:t>carpio</w:t>
            </w:r>
            <w:proofErr w:type="spellEnd"/>
          </w:p>
        </w:tc>
        <w:tc>
          <w:tcPr>
            <w:tcW w:w="4372" w:type="dxa"/>
          </w:tcPr>
          <w:p w:rsidR="008C3777" w:rsidRPr="003B13C2" w:rsidRDefault="003B13C2" w:rsidP="003B13C2">
            <w:pPr>
              <w:jc w:val="center"/>
              <w:rPr>
                <w:rFonts w:ascii="Times New Roman" w:eastAsia="Times New Roman" w:hAnsi="Times New Roman" w:cs="Times New Roman"/>
                <w:b/>
                <w:sz w:val="18"/>
              </w:rPr>
            </w:pPr>
            <w:r w:rsidRPr="003B13C2">
              <w:rPr>
                <w:rFonts w:ascii="Times New Roman" w:eastAsia="Times New Roman" w:hAnsi="Times New Roman" w:cs="Times New Roman"/>
                <w:b/>
                <w:sz w:val="18"/>
              </w:rPr>
              <w:t>2250</w:t>
            </w:r>
          </w:p>
        </w:tc>
      </w:tr>
      <w:tr w:rsidR="008C3777" w:rsidRPr="008C3777" w:rsidTr="008C3777">
        <w:trPr>
          <w:trHeight w:val="245"/>
          <w:jc w:val="center"/>
        </w:trPr>
        <w:tc>
          <w:tcPr>
            <w:tcW w:w="4230" w:type="dxa"/>
          </w:tcPr>
          <w:p w:rsidR="008C3777" w:rsidRPr="003B13C2" w:rsidRDefault="008C3777" w:rsidP="003B13C2">
            <w:pPr>
              <w:spacing w:line="238" w:lineRule="exact"/>
              <w:ind w:left="106"/>
              <w:rPr>
                <w:rFonts w:ascii="Times New Roman" w:eastAsia="Times New Roman" w:hAnsi="Times New Roman" w:cs="Times New Roman"/>
                <w:b/>
                <w:sz w:val="24"/>
              </w:rPr>
            </w:pPr>
            <w:r w:rsidRPr="003B13C2">
              <w:rPr>
                <w:rFonts w:ascii="Times New Roman" w:eastAsia="Times New Roman" w:hAnsi="Times New Roman" w:cs="Times New Roman"/>
                <w:b/>
                <w:color w:val="212121"/>
                <w:w w:val="105"/>
                <w:sz w:val="24"/>
              </w:rPr>
              <w:t>2-</w:t>
            </w:r>
            <w:r w:rsidR="003B13C2" w:rsidRPr="003B13C2">
              <w:rPr>
                <w:rFonts w:ascii="Times New Roman" w:eastAsia="Times New Roman" w:hAnsi="Times New Roman" w:cs="Times New Roman"/>
                <w:b/>
                <w:color w:val="212121"/>
                <w:w w:val="105"/>
                <w:sz w:val="24"/>
              </w:rPr>
              <w:t xml:space="preserve">Kadife / </w:t>
            </w:r>
            <w:proofErr w:type="spellStart"/>
            <w:r w:rsidR="003B13C2" w:rsidRPr="003B13C2">
              <w:rPr>
                <w:rFonts w:ascii="Times New Roman" w:eastAsia="Times New Roman" w:hAnsi="Times New Roman" w:cs="Times New Roman"/>
                <w:b/>
                <w:color w:val="212121"/>
                <w:w w:val="105"/>
                <w:sz w:val="24"/>
              </w:rPr>
              <w:t>Tinca</w:t>
            </w:r>
            <w:proofErr w:type="spellEnd"/>
            <w:r w:rsidR="003B13C2" w:rsidRPr="003B13C2">
              <w:rPr>
                <w:rFonts w:ascii="Times New Roman" w:eastAsia="Times New Roman" w:hAnsi="Times New Roman" w:cs="Times New Roman"/>
                <w:b/>
                <w:color w:val="212121"/>
                <w:w w:val="105"/>
                <w:sz w:val="24"/>
              </w:rPr>
              <w:t xml:space="preserve"> </w:t>
            </w:r>
            <w:proofErr w:type="spellStart"/>
            <w:r w:rsidR="003B13C2" w:rsidRPr="003B13C2">
              <w:rPr>
                <w:rFonts w:ascii="Times New Roman" w:eastAsia="Times New Roman" w:hAnsi="Times New Roman" w:cs="Times New Roman"/>
                <w:b/>
                <w:color w:val="212121"/>
                <w:w w:val="105"/>
                <w:sz w:val="24"/>
              </w:rPr>
              <w:t>tinca</w:t>
            </w:r>
            <w:proofErr w:type="spellEnd"/>
          </w:p>
        </w:tc>
        <w:tc>
          <w:tcPr>
            <w:tcW w:w="4372" w:type="dxa"/>
          </w:tcPr>
          <w:p w:rsidR="008C3777" w:rsidRPr="003B13C2" w:rsidRDefault="003B13C2" w:rsidP="003B13C2">
            <w:pPr>
              <w:jc w:val="center"/>
              <w:rPr>
                <w:rFonts w:ascii="Times New Roman" w:eastAsia="Times New Roman" w:hAnsi="Times New Roman" w:cs="Times New Roman"/>
                <w:b/>
                <w:sz w:val="18"/>
              </w:rPr>
            </w:pPr>
            <w:r w:rsidRPr="003B13C2">
              <w:rPr>
                <w:rFonts w:ascii="Times New Roman" w:eastAsia="Times New Roman" w:hAnsi="Times New Roman" w:cs="Times New Roman"/>
                <w:b/>
                <w:sz w:val="18"/>
              </w:rPr>
              <w:t>5250</w:t>
            </w:r>
          </w:p>
        </w:tc>
      </w:tr>
      <w:tr w:rsidR="008C3777" w:rsidRPr="008C3777" w:rsidTr="008C3777">
        <w:trPr>
          <w:trHeight w:val="245"/>
          <w:jc w:val="center"/>
        </w:trPr>
        <w:tc>
          <w:tcPr>
            <w:tcW w:w="4230" w:type="dxa"/>
          </w:tcPr>
          <w:p w:rsidR="008C3777" w:rsidRPr="003B13C2" w:rsidRDefault="008C3777" w:rsidP="008C3777">
            <w:pPr>
              <w:spacing w:line="238" w:lineRule="exact"/>
              <w:ind w:left="101"/>
              <w:rPr>
                <w:rFonts w:ascii="Times New Roman" w:eastAsia="Times New Roman" w:hAnsi="Times New Roman" w:cs="Times New Roman"/>
                <w:b/>
                <w:sz w:val="24"/>
              </w:rPr>
            </w:pPr>
            <w:r w:rsidRPr="003B13C2">
              <w:rPr>
                <w:rFonts w:ascii="Times New Roman" w:eastAsia="Times New Roman" w:hAnsi="Times New Roman" w:cs="Times New Roman"/>
                <w:b/>
                <w:color w:val="0F0F0F"/>
                <w:sz w:val="24"/>
              </w:rPr>
              <w:t>3-</w:t>
            </w:r>
            <w:r w:rsidR="003B13C2" w:rsidRPr="003B13C2">
              <w:rPr>
                <w:rFonts w:ascii="Times New Roman" w:eastAsia="Times New Roman" w:hAnsi="Times New Roman" w:cs="Times New Roman"/>
                <w:b/>
                <w:color w:val="0F0F0F"/>
                <w:sz w:val="24"/>
              </w:rPr>
              <w:t xml:space="preserve">Tatlısu </w:t>
            </w:r>
            <w:proofErr w:type="spellStart"/>
            <w:r w:rsidR="003B13C2" w:rsidRPr="003B13C2">
              <w:rPr>
                <w:rFonts w:ascii="Times New Roman" w:eastAsia="Times New Roman" w:hAnsi="Times New Roman" w:cs="Times New Roman"/>
                <w:b/>
                <w:color w:val="0F0F0F"/>
                <w:sz w:val="24"/>
              </w:rPr>
              <w:t>Kefali</w:t>
            </w:r>
            <w:proofErr w:type="spellEnd"/>
            <w:r w:rsidR="003B13C2" w:rsidRPr="003B13C2">
              <w:rPr>
                <w:rFonts w:ascii="Times New Roman" w:eastAsia="Times New Roman" w:hAnsi="Times New Roman" w:cs="Times New Roman"/>
                <w:b/>
                <w:color w:val="0F0F0F"/>
                <w:sz w:val="24"/>
              </w:rPr>
              <w:t xml:space="preserve"> /</w:t>
            </w:r>
            <w:proofErr w:type="spellStart"/>
            <w:r w:rsidR="003B13C2" w:rsidRPr="003B13C2">
              <w:rPr>
                <w:rFonts w:ascii="Times New Roman" w:eastAsia="Times New Roman" w:hAnsi="Times New Roman" w:cs="Times New Roman"/>
                <w:b/>
                <w:color w:val="0F0F0F"/>
                <w:sz w:val="24"/>
              </w:rPr>
              <w:t>Leuciscus</w:t>
            </w:r>
            <w:proofErr w:type="spellEnd"/>
            <w:r w:rsidR="003B13C2" w:rsidRPr="003B13C2">
              <w:rPr>
                <w:rFonts w:ascii="Times New Roman" w:eastAsia="Times New Roman" w:hAnsi="Times New Roman" w:cs="Times New Roman"/>
                <w:b/>
                <w:color w:val="0F0F0F"/>
                <w:sz w:val="24"/>
              </w:rPr>
              <w:t xml:space="preserve"> </w:t>
            </w:r>
            <w:proofErr w:type="spellStart"/>
            <w:r w:rsidR="003B13C2" w:rsidRPr="003B13C2">
              <w:rPr>
                <w:rFonts w:ascii="Times New Roman" w:eastAsia="Times New Roman" w:hAnsi="Times New Roman" w:cs="Times New Roman"/>
                <w:b/>
                <w:color w:val="0F0F0F"/>
                <w:sz w:val="24"/>
              </w:rPr>
              <w:t>cephalus</w:t>
            </w:r>
            <w:proofErr w:type="spellEnd"/>
          </w:p>
        </w:tc>
        <w:tc>
          <w:tcPr>
            <w:tcW w:w="4372" w:type="dxa"/>
          </w:tcPr>
          <w:p w:rsidR="008C3777" w:rsidRPr="003B13C2" w:rsidRDefault="003B13C2" w:rsidP="003B13C2">
            <w:pPr>
              <w:jc w:val="center"/>
              <w:rPr>
                <w:rFonts w:ascii="Times New Roman" w:eastAsia="Times New Roman" w:hAnsi="Times New Roman" w:cs="Times New Roman"/>
                <w:b/>
                <w:sz w:val="18"/>
              </w:rPr>
            </w:pPr>
            <w:r w:rsidRPr="003B13C2">
              <w:rPr>
                <w:rFonts w:ascii="Times New Roman" w:eastAsia="Times New Roman" w:hAnsi="Times New Roman" w:cs="Times New Roman"/>
                <w:b/>
                <w:sz w:val="18"/>
              </w:rPr>
              <w:t>9000</w:t>
            </w:r>
          </w:p>
        </w:tc>
      </w:tr>
      <w:tr w:rsidR="008C3777" w:rsidRPr="008C3777" w:rsidTr="008C3777">
        <w:trPr>
          <w:trHeight w:val="245"/>
          <w:jc w:val="center"/>
        </w:trPr>
        <w:tc>
          <w:tcPr>
            <w:tcW w:w="4230" w:type="dxa"/>
          </w:tcPr>
          <w:p w:rsidR="008C3777" w:rsidRPr="003B13C2" w:rsidRDefault="008C3777" w:rsidP="008C3777">
            <w:pPr>
              <w:spacing w:before="7" w:line="231" w:lineRule="exact"/>
              <w:ind w:left="101"/>
              <w:rPr>
                <w:rFonts w:ascii="Times New Roman" w:eastAsia="Times New Roman" w:hAnsi="Times New Roman" w:cs="Times New Roman"/>
                <w:b/>
                <w:sz w:val="23"/>
              </w:rPr>
            </w:pPr>
            <w:r w:rsidRPr="003B13C2">
              <w:rPr>
                <w:rFonts w:ascii="Times New Roman" w:eastAsia="Times New Roman" w:hAnsi="Times New Roman" w:cs="Times New Roman"/>
                <w:b/>
                <w:color w:val="0F0F0F"/>
                <w:sz w:val="23"/>
              </w:rPr>
              <w:t>4-</w:t>
            </w:r>
          </w:p>
        </w:tc>
        <w:tc>
          <w:tcPr>
            <w:tcW w:w="4372" w:type="dxa"/>
          </w:tcPr>
          <w:p w:rsidR="008C3777" w:rsidRPr="003B13C2" w:rsidRDefault="008C3777" w:rsidP="008C3777">
            <w:pPr>
              <w:rPr>
                <w:rFonts w:ascii="Times New Roman" w:eastAsia="Times New Roman" w:hAnsi="Times New Roman" w:cs="Times New Roman"/>
                <w:b/>
                <w:sz w:val="18"/>
              </w:rPr>
            </w:pPr>
          </w:p>
        </w:tc>
      </w:tr>
      <w:tr w:rsidR="008C3777" w:rsidRPr="008C3777" w:rsidTr="008C3777">
        <w:trPr>
          <w:trHeight w:val="245"/>
          <w:jc w:val="center"/>
        </w:trPr>
        <w:tc>
          <w:tcPr>
            <w:tcW w:w="4230" w:type="dxa"/>
          </w:tcPr>
          <w:p w:rsidR="008C3777" w:rsidRPr="003B13C2" w:rsidRDefault="008C3777" w:rsidP="008C3777">
            <w:pPr>
              <w:spacing w:line="238" w:lineRule="exact"/>
              <w:ind w:left="99"/>
              <w:rPr>
                <w:rFonts w:ascii="Times New Roman" w:eastAsia="Times New Roman" w:hAnsi="Times New Roman" w:cs="Times New Roman"/>
                <w:b/>
                <w:sz w:val="24"/>
              </w:rPr>
            </w:pPr>
            <w:r w:rsidRPr="003B13C2">
              <w:rPr>
                <w:rFonts w:ascii="Times New Roman" w:eastAsia="Times New Roman" w:hAnsi="Times New Roman" w:cs="Times New Roman"/>
                <w:b/>
                <w:color w:val="0F0F0F"/>
                <w:w w:val="105"/>
                <w:sz w:val="24"/>
              </w:rPr>
              <w:t>5-</w:t>
            </w:r>
          </w:p>
        </w:tc>
        <w:tc>
          <w:tcPr>
            <w:tcW w:w="4372" w:type="dxa"/>
          </w:tcPr>
          <w:p w:rsidR="008C3777" w:rsidRPr="003B13C2" w:rsidRDefault="008C3777" w:rsidP="008C3777">
            <w:pPr>
              <w:rPr>
                <w:rFonts w:ascii="Times New Roman" w:eastAsia="Times New Roman" w:hAnsi="Times New Roman" w:cs="Times New Roman"/>
                <w:b/>
                <w:sz w:val="18"/>
              </w:rPr>
            </w:pPr>
          </w:p>
        </w:tc>
      </w:tr>
      <w:tr w:rsidR="008C3777" w:rsidRPr="008C3777" w:rsidTr="008C3777">
        <w:trPr>
          <w:trHeight w:val="245"/>
          <w:jc w:val="center"/>
        </w:trPr>
        <w:tc>
          <w:tcPr>
            <w:tcW w:w="4230" w:type="dxa"/>
          </w:tcPr>
          <w:p w:rsidR="008C3777" w:rsidRPr="003B13C2" w:rsidRDefault="008C3777" w:rsidP="008C3777">
            <w:pPr>
              <w:spacing w:before="8" w:line="230" w:lineRule="exact"/>
              <w:ind w:right="77"/>
              <w:jc w:val="right"/>
              <w:rPr>
                <w:rFonts w:ascii="Times New Roman" w:eastAsia="Times New Roman" w:hAnsi="Times New Roman" w:cs="Times New Roman"/>
                <w:b/>
                <w:sz w:val="23"/>
              </w:rPr>
            </w:pPr>
            <w:proofErr w:type="spellStart"/>
            <w:r w:rsidRPr="003B13C2">
              <w:rPr>
                <w:rFonts w:ascii="Times New Roman" w:eastAsia="Times New Roman" w:hAnsi="Times New Roman" w:cs="Times New Roman"/>
                <w:b/>
                <w:color w:val="0F0F0F"/>
                <w:w w:val="105"/>
                <w:sz w:val="23"/>
              </w:rPr>
              <w:t>Toplam</w:t>
            </w:r>
            <w:proofErr w:type="spellEnd"/>
          </w:p>
        </w:tc>
        <w:tc>
          <w:tcPr>
            <w:tcW w:w="4372" w:type="dxa"/>
          </w:tcPr>
          <w:p w:rsidR="008C3777" w:rsidRPr="003B13C2" w:rsidRDefault="003B13C2" w:rsidP="003B13C2">
            <w:pPr>
              <w:jc w:val="center"/>
              <w:rPr>
                <w:rFonts w:ascii="Times New Roman" w:eastAsia="Times New Roman" w:hAnsi="Times New Roman" w:cs="Times New Roman"/>
                <w:b/>
                <w:sz w:val="18"/>
              </w:rPr>
            </w:pPr>
            <w:r w:rsidRPr="003B13C2">
              <w:rPr>
                <w:rFonts w:ascii="Times New Roman" w:eastAsia="Times New Roman" w:hAnsi="Times New Roman" w:cs="Times New Roman"/>
                <w:b/>
                <w:sz w:val="18"/>
              </w:rPr>
              <w:t>16500</w:t>
            </w:r>
          </w:p>
        </w:tc>
      </w:tr>
    </w:tbl>
    <w:p w:rsidR="008C3777" w:rsidRDefault="008C3777" w:rsidP="008C3777"/>
    <w:p w:rsidR="008C3777" w:rsidRDefault="008C3777" w:rsidP="00AF771C">
      <w:pPr>
        <w:jc w:val="both"/>
      </w:pPr>
      <w:r>
        <w:t>17-Söz konusu su ürünleri üretim yeri tahmin edilen</w:t>
      </w:r>
      <w:r w:rsidR="003B13C2">
        <w:t xml:space="preserve"> </w:t>
      </w:r>
      <w:r w:rsidR="003B13C2" w:rsidRPr="003B13C2">
        <w:rPr>
          <w:b/>
        </w:rPr>
        <w:t>16500</w:t>
      </w:r>
      <w:r w:rsidR="003B13C2">
        <w:t xml:space="preserve"> </w:t>
      </w:r>
      <w:r>
        <w:t>kg/yıl avlanabilir stok miktarı üzerinden kiraya verilecek olup, daha fazla ürünün avlanmasına müsaade edilmeyecektir.</w:t>
      </w:r>
    </w:p>
    <w:p w:rsidR="008C3777" w:rsidRDefault="008C3777" w:rsidP="00AF771C">
      <w:pPr>
        <w:jc w:val="both"/>
      </w:pPr>
      <w:r>
        <w:t>18-Söz konusu su ürünleri üretim yerinde ekosistemi ve su ürünlerini olumsuz etkileyebilecek teknik, ekonomik vb. bir tespit yapılması durumunda, il müdürlüğü kira sözleşmesini tek taraflı olarak feshedebilecektir.</w:t>
      </w:r>
    </w:p>
    <w:p w:rsidR="008C3777" w:rsidRDefault="008C3777" w:rsidP="00AF771C">
      <w:pPr>
        <w:jc w:val="both"/>
      </w:pPr>
      <w:r>
        <w:t>19-Kiracı, Bakanlık ve diğer kamu kurumlarınca su ürünleri üretim yeri ile ilgili yeni önlemler ve koruma tedbirlerine yönelik alınan kararlara uymak zorundadır.</w:t>
      </w:r>
    </w:p>
    <w:p w:rsidR="008C3777" w:rsidRDefault="008C3777" w:rsidP="00AF771C">
      <w:pPr>
        <w:jc w:val="both"/>
      </w:pPr>
      <w:r>
        <w:t>20-Yukarıda belirlenen esaslara uyulmaması halinde kira sözleşmesi Bakanlığın görüşü alınarak Bakanlık il müdürlüğünce feshedilir ve sözleşmenin feshedilmesi halinde kiracı, herhangi bir hak talep etmeyeceğini kabul ve taahhüt eder.</w:t>
      </w:r>
    </w:p>
    <w:p w:rsidR="00AF771C" w:rsidRDefault="008C3777" w:rsidP="00AF771C">
      <w:pPr>
        <w:jc w:val="both"/>
      </w:pPr>
      <w:r>
        <w:t xml:space="preserve">Okudum, anladım, kabul ediyorum. </w:t>
      </w:r>
    </w:p>
    <w:p w:rsidR="008C3777" w:rsidRPr="00AF771C" w:rsidRDefault="008C3777" w:rsidP="00AF771C">
      <w:pPr>
        <w:jc w:val="both"/>
        <w:rPr>
          <w:b/>
        </w:rPr>
      </w:pPr>
      <w:r w:rsidRPr="00AF771C">
        <w:rPr>
          <w:b/>
        </w:rPr>
        <w:t>KİRACI</w:t>
      </w:r>
    </w:p>
    <w:p w:rsidR="008C3777" w:rsidRPr="00AF771C" w:rsidRDefault="008C3777" w:rsidP="008C3777">
      <w:pPr>
        <w:rPr>
          <w:b/>
        </w:rPr>
      </w:pPr>
      <w:r w:rsidRPr="00AF771C">
        <w:rPr>
          <w:b/>
        </w:rPr>
        <w:t>Adı Soyadı/</w:t>
      </w:r>
      <w:proofErr w:type="spellStart"/>
      <w:r w:rsidRPr="00AF771C">
        <w:rPr>
          <w:b/>
        </w:rPr>
        <w:t>Ünvanı</w:t>
      </w:r>
      <w:proofErr w:type="spellEnd"/>
    </w:p>
    <w:p w:rsidR="008C3777" w:rsidRPr="00AF771C" w:rsidRDefault="008C3777" w:rsidP="008C3777">
      <w:pPr>
        <w:rPr>
          <w:b/>
        </w:rPr>
      </w:pPr>
      <w:r w:rsidRPr="00AF771C">
        <w:rPr>
          <w:b/>
        </w:rPr>
        <w:t xml:space="preserve"> İmza</w:t>
      </w:r>
    </w:p>
    <w:p w:rsidR="008C3777" w:rsidRDefault="008C3777" w:rsidP="008C3777"/>
    <w:p w:rsidR="008C3777" w:rsidRDefault="008C3777" w:rsidP="008C3777">
      <w:r>
        <w:t>NOT:</w:t>
      </w:r>
    </w:p>
    <w:p w:rsidR="008C3777" w:rsidRDefault="008C3777" w:rsidP="008C3777">
      <w:proofErr w:type="spellStart"/>
      <w:r>
        <w:t>I.Lüzum</w:t>
      </w:r>
      <w:proofErr w:type="spellEnd"/>
      <w:r>
        <w:t xml:space="preserve"> görülmesi halinde il müdürlüğü su ürünleri üretim yerinin özelliklerine göre teknik şartnameye </w:t>
      </w:r>
      <w:proofErr w:type="gramStart"/>
      <w:r>
        <w:t>özel   hükümler</w:t>
      </w:r>
      <w:proofErr w:type="gramEnd"/>
      <w:r>
        <w:t xml:space="preserve"> ekler.</w:t>
      </w:r>
    </w:p>
    <w:p w:rsidR="008C3777" w:rsidRDefault="008C3777" w:rsidP="008C3777">
      <w:proofErr w:type="spellStart"/>
      <w:proofErr w:type="gramStart"/>
      <w:r>
        <w:t>II.Teknik</w:t>
      </w:r>
      <w:proofErr w:type="spellEnd"/>
      <w:proofErr w:type="gramEnd"/>
      <w:r>
        <w:t xml:space="preserve"> Şartnamenin her sayfası müteşebbis tarafından paraflanır.</w:t>
      </w:r>
    </w:p>
    <w:p w:rsidR="008C3777" w:rsidRDefault="008C3777" w:rsidP="008C3777">
      <w:proofErr w:type="spellStart"/>
      <w:proofErr w:type="gramStart"/>
      <w:r>
        <w:t>III.Projeye</w:t>
      </w:r>
      <w:proofErr w:type="spellEnd"/>
      <w:proofErr w:type="gramEnd"/>
      <w:r>
        <w:t xml:space="preserve"> dayalı olarak ıslah amaçlı su ürünleri avcılığına ilişkin teknik şartnameye aşağıdaki maddeler eklenecektir.</w:t>
      </w:r>
    </w:p>
    <w:p w:rsidR="008C3777" w:rsidRDefault="008C3777" w:rsidP="008C3777"/>
    <w:p w:rsidR="008C3777" w:rsidRDefault="008C3777" w:rsidP="008C3777">
      <w:pPr>
        <w:jc w:val="both"/>
      </w:pPr>
      <w:r>
        <w:lastRenderedPageBreak/>
        <w:t>1-</w:t>
      </w:r>
      <w:r>
        <w:tab/>
        <w:t>Kiracı üretim faaliyetlerini yürütmek için su ürünleri konusunda eğitim veren en az 4 (dört) yıllık fakülte mezunu veya su ürünleri konusunda kamuda en az 5 (beş) yıl çalışmış teknik personeli sorumlu müdür olarak istihdam edecektir.</w:t>
      </w:r>
    </w:p>
    <w:p w:rsidR="008C3777" w:rsidRDefault="008C3777" w:rsidP="008C3777">
      <w:pPr>
        <w:jc w:val="both"/>
      </w:pPr>
      <w:r>
        <w:t>2-</w:t>
      </w:r>
      <w:r>
        <w:tab/>
        <w:t>Su ürünleri üretim yerinin denizle bağlantılı boğazı sürekli olarak açık tutulacaktır.</w:t>
      </w:r>
    </w:p>
    <w:p w:rsidR="008C3777" w:rsidRDefault="008C3777" w:rsidP="008C3777">
      <w:pPr>
        <w:jc w:val="both"/>
      </w:pPr>
      <w:r>
        <w:t>3-</w:t>
      </w:r>
      <w:r>
        <w:tab/>
        <w:t>Kiracı, projesinde belirtilen ıslah yatırımlarını yapmak zorundadır. Öngörülen ıslah yatırımlarının zamanında yapılmaması halinde proje ve/veya kira sözleşmesi feshedilecek ve kiracı bu nedenle Bakanlıktan herhangi bir hak ve tazminat talebinde bulunmayacaktır.</w:t>
      </w:r>
    </w:p>
    <w:p w:rsidR="008C3777" w:rsidRPr="008C3777" w:rsidRDefault="008C3777" w:rsidP="008C3777">
      <w:pPr>
        <w:jc w:val="both"/>
      </w:pPr>
      <w:r>
        <w:t>4-</w:t>
      </w:r>
      <w:r>
        <w:tab/>
        <w:t>Kiracı projesinde yer alan her türlü yatırımı (alet/</w:t>
      </w:r>
      <w:proofErr w:type="gramStart"/>
      <w:r>
        <w:t>ekipman</w:t>
      </w:r>
      <w:proofErr w:type="gramEnd"/>
      <w:r>
        <w:t xml:space="preserve">, </w:t>
      </w:r>
      <w:proofErr w:type="spellStart"/>
      <w:r>
        <w:t>kuzuluk</w:t>
      </w:r>
      <w:proofErr w:type="spellEnd"/>
      <w:r>
        <w:t>, çitler, balıkçılık üst yapıları, güvenlik kulübeleri vb.) zarar vermeden kullanmak işlevsel olarak süre sonunda aynen teslim etmek zorundadır</w:t>
      </w:r>
    </w:p>
    <w:sectPr w:rsidR="008C3777" w:rsidRPr="008C3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A2"/>
    <w:rsid w:val="002E5CA2"/>
    <w:rsid w:val="003B13C2"/>
    <w:rsid w:val="004449C0"/>
    <w:rsid w:val="0089150C"/>
    <w:rsid w:val="008C3777"/>
    <w:rsid w:val="00A0314B"/>
    <w:rsid w:val="00A45BF4"/>
    <w:rsid w:val="00AF771C"/>
    <w:rsid w:val="00D57254"/>
    <w:rsid w:val="00DE6E68"/>
    <w:rsid w:val="00E45F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DF10"/>
  <w15:chartTrackingRefBased/>
  <w15:docId w15:val="{B95955EB-7318-4F3B-9246-445406E3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C37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34"/>
    <w:qFormat/>
    <w:rsid w:val="00AF7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5A3FE7-396B-4EFE-A898-8149185EF654}"/>
</file>

<file path=customXml/itemProps2.xml><?xml version="1.0" encoding="utf-8"?>
<ds:datastoreItem xmlns:ds="http://schemas.openxmlformats.org/officeDocument/2006/customXml" ds:itemID="{9285BFBC-8D3C-47D3-83BB-A85AB52E015B}"/>
</file>

<file path=customXml/itemProps3.xml><?xml version="1.0" encoding="utf-8"?>
<ds:datastoreItem xmlns:ds="http://schemas.openxmlformats.org/officeDocument/2006/customXml" ds:itemID="{B0CBBA13-E9B9-4F8B-AA22-521CDD745910}"/>
</file>

<file path=docProps/app.xml><?xml version="1.0" encoding="utf-8"?>
<Properties xmlns="http://schemas.openxmlformats.org/officeDocument/2006/extended-properties" xmlns:vt="http://schemas.openxmlformats.org/officeDocument/2006/docPropsVTypes">
  <Template>Normal</Template>
  <TotalTime>26</TotalTime>
  <Pages>3</Pages>
  <Words>843</Words>
  <Characters>4808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Mukadder GÜLER</dc:creator>
  <cp:keywords/>
  <dc:description/>
  <cp:lastModifiedBy>Mukadder GÜLER</cp:lastModifiedBy>
  <cp:revision>8</cp:revision>
  <dcterms:created xsi:type="dcterms:W3CDTF">2022-08-09T12:34:00Z</dcterms:created>
  <dcterms:modified xsi:type="dcterms:W3CDTF">2022-08-09T14:19:00Z</dcterms:modified>
</cp:coreProperties>
</file>